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0FF3B703" w:rsidR="006604E6" w:rsidRDefault="00EB53CA">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Secondary Education Unified</w:t>
      </w:r>
      <w:r w:rsidR="004440E7">
        <w:rPr>
          <w:rFonts w:ascii="Open Sans Extrabold" w:eastAsia="Open Sans Extrabold" w:hAnsi="Open Sans Extrabold" w:cs="Open Sans Extrabold"/>
          <w:b/>
          <w:smallCaps/>
          <w:color w:val="0070C0"/>
          <w:sz w:val="56"/>
          <w:szCs w:val="56"/>
        </w:rPr>
        <w:t>,</w:t>
      </w:r>
    </w:p>
    <w:p w14:paraId="00000005" w14:textId="20F5FFBC" w:rsidR="006604E6" w:rsidRDefault="00EB53CA">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6-12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5259FB50" w:rsidR="006604E6" w:rsidRDefault="00F66207">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6</w:t>
      </w:r>
      <w:r w:rsidR="00EB53CA">
        <w:rPr>
          <w:rFonts w:ascii="Open Sans Light" w:eastAsia="Open Sans Light" w:hAnsi="Open Sans Light" w:cs="Open Sans Light"/>
          <w:sz w:val="22"/>
          <w:szCs w:val="22"/>
        </w:rPr>
        <w:t>-12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F66207">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E1BF765" w14:textId="77777777" w:rsidR="00BE3BE0" w:rsidRPr="000D3AF2" w:rsidRDefault="00BE3BE0" w:rsidP="00BE3BE0">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00000028" w14:textId="531C3CDF" w:rsidR="006604E6" w:rsidRDefault="00F66207">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 and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23F3A352" w:rsidR="006604E6" w:rsidRDefault="00EB53CA">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Secondary Education Unified 6-12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4E661AED" w14:textId="77777777" w:rsidR="000D1DE4" w:rsidRDefault="000D1DE4" w:rsidP="001548B9">
            <w:pPr>
              <w:tabs>
                <w:tab w:val="left" w:pos="356"/>
              </w:tabs>
              <w:rPr>
                <w:rFonts w:ascii="Open Sans Light" w:eastAsia="Open Sans Light" w:hAnsi="Open Sans Light" w:cs="Open Sans Light"/>
                <w:b/>
                <w:sz w:val="20"/>
                <w:szCs w:val="20"/>
              </w:rPr>
            </w:pPr>
            <w:r w:rsidRPr="000D1DE4">
              <w:rPr>
                <w:rFonts w:ascii="Open Sans Light" w:eastAsia="Open Sans Light" w:hAnsi="Open Sans Light" w:cs="Open Sans Light"/>
                <w:b/>
                <w:sz w:val="20"/>
                <w:szCs w:val="20"/>
              </w:rPr>
              <w:t xml:space="preserve">Standard 1: Characteristics/Legal/Historical/Philosophical Foundations </w:t>
            </w:r>
          </w:p>
          <w:p w14:paraId="00000047" w14:textId="61E2A1CD" w:rsidR="001548B9" w:rsidRDefault="000D1DE4" w:rsidP="001548B9">
            <w:pPr>
              <w:tabs>
                <w:tab w:val="left" w:pos="356"/>
              </w:tabs>
              <w:rPr>
                <w:rFonts w:ascii="Open Sans Light" w:eastAsia="Open Sans Light" w:hAnsi="Open Sans Light" w:cs="Open Sans Light"/>
                <w:b/>
                <w:sz w:val="20"/>
                <w:szCs w:val="20"/>
              </w:rPr>
            </w:pPr>
            <w:r w:rsidRPr="000D1DE4">
              <w:rPr>
                <w:rFonts w:ascii="Open Sans Light" w:eastAsia="Open Sans Light" w:hAnsi="Open Sans Light" w:cs="Open Sans Light"/>
                <w:b/>
                <w:sz w:val="20"/>
                <w:szCs w:val="20"/>
              </w:rPr>
              <w:t>The Secondary Education Unified (SEU) 6-12 teacher candidate understands the historical and philosophical foundations of general, special, and inclusive education, the development and characteristics of all learners including those with disabilities, the impacts of individual differences on education, and the legal parameters appropriate for each learner's educational needs.</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0576B23C" w14:textId="77777777" w:rsidR="000D1DE4" w:rsidRDefault="000D1DE4" w:rsidP="001548B9">
            <w:pPr>
              <w:tabs>
                <w:tab w:val="left" w:pos="356"/>
              </w:tabs>
              <w:rPr>
                <w:rFonts w:ascii="Open Sans Light" w:eastAsia="Open Sans Light" w:hAnsi="Open Sans Light" w:cs="Open Sans Light"/>
                <w:b/>
                <w:sz w:val="20"/>
                <w:szCs w:val="20"/>
              </w:rPr>
            </w:pPr>
            <w:r w:rsidRPr="000D1DE4">
              <w:rPr>
                <w:rFonts w:ascii="Open Sans Light" w:eastAsia="Open Sans Light" w:hAnsi="Open Sans Light" w:cs="Open Sans Light"/>
                <w:b/>
                <w:sz w:val="20"/>
                <w:szCs w:val="20"/>
              </w:rPr>
              <w:t xml:space="preserve">Standard 2: Assessment </w:t>
            </w:r>
          </w:p>
          <w:p w14:paraId="00000049" w14:textId="02A16A46" w:rsidR="001548B9" w:rsidRDefault="000D1DE4" w:rsidP="001548B9">
            <w:pPr>
              <w:tabs>
                <w:tab w:val="left" w:pos="356"/>
              </w:tabs>
              <w:rPr>
                <w:rFonts w:ascii="Open Sans Light" w:eastAsia="Open Sans Light" w:hAnsi="Open Sans Light" w:cs="Open Sans Light"/>
                <w:b/>
                <w:sz w:val="20"/>
                <w:szCs w:val="20"/>
              </w:rPr>
            </w:pPr>
            <w:r w:rsidRPr="000D1DE4">
              <w:rPr>
                <w:rFonts w:ascii="Open Sans Light" w:eastAsia="Open Sans Light" w:hAnsi="Open Sans Light" w:cs="Open Sans Light"/>
                <w:b/>
                <w:sz w:val="20"/>
                <w:szCs w:val="20"/>
              </w:rPr>
              <w:t>The Secondary Education Unified (SEU) 6-12 teacher candidate uses a variety of assessment instruments, procedures, and technologies for learner screening, evaluation, eligibility decisions, instructional planning, progress monitoring, and technology considerations.</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19CE8170" w14:textId="77777777" w:rsidR="000D1DE4" w:rsidRDefault="000D1DE4" w:rsidP="001548B9">
            <w:pPr>
              <w:tabs>
                <w:tab w:val="left" w:pos="356"/>
              </w:tabs>
              <w:rPr>
                <w:rFonts w:ascii="Open Sans Light" w:eastAsia="Open Sans Light" w:hAnsi="Open Sans Light" w:cs="Open Sans Light"/>
                <w:b/>
                <w:sz w:val="20"/>
                <w:szCs w:val="20"/>
              </w:rPr>
            </w:pPr>
            <w:r w:rsidRPr="000D1DE4">
              <w:rPr>
                <w:rFonts w:ascii="Open Sans Light" w:eastAsia="Open Sans Light" w:hAnsi="Open Sans Light" w:cs="Open Sans Light"/>
                <w:b/>
                <w:sz w:val="20"/>
                <w:szCs w:val="20"/>
              </w:rPr>
              <w:t xml:space="preserve">Standard 3: Planning Instruction considering individual learner characteristics </w:t>
            </w:r>
          </w:p>
          <w:p w14:paraId="0000004B" w14:textId="30111139" w:rsidR="001548B9" w:rsidRDefault="000D1DE4" w:rsidP="001548B9">
            <w:pPr>
              <w:tabs>
                <w:tab w:val="left" w:pos="356"/>
              </w:tabs>
              <w:rPr>
                <w:rFonts w:ascii="Open Sans Light" w:eastAsia="Open Sans Light" w:hAnsi="Open Sans Light" w:cs="Open Sans Light"/>
                <w:b/>
                <w:sz w:val="20"/>
                <w:szCs w:val="20"/>
              </w:rPr>
            </w:pPr>
            <w:r w:rsidRPr="000D1DE4">
              <w:rPr>
                <w:rFonts w:ascii="Open Sans Light" w:eastAsia="Open Sans Light" w:hAnsi="Open Sans Light" w:cs="Open Sans Light"/>
                <w:b/>
                <w:sz w:val="20"/>
                <w:szCs w:val="20"/>
              </w:rPr>
              <w:t>The Secondary Education Unified (SEU) 6-12 teacher candidate uses the Individual Educational Programs (IEPs), learning environments, consideration of individual learner characteristics, assessment, knowledge of high leverage pedagogical practices, and technology for effective instructional planning and implementation.</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7EBDB1A2" w14:textId="77777777" w:rsidR="000D1DE4" w:rsidRDefault="000D1DE4">
            <w:pPr>
              <w:tabs>
                <w:tab w:val="left" w:pos="356"/>
              </w:tabs>
              <w:rPr>
                <w:rFonts w:ascii="Open Sans Light" w:eastAsia="Open Sans Light" w:hAnsi="Open Sans Light" w:cs="Open Sans Light"/>
                <w:b/>
                <w:sz w:val="20"/>
                <w:szCs w:val="20"/>
              </w:rPr>
            </w:pPr>
            <w:r w:rsidRPr="000D1DE4">
              <w:rPr>
                <w:rFonts w:ascii="Open Sans Light" w:eastAsia="Open Sans Light" w:hAnsi="Open Sans Light" w:cs="Open Sans Light"/>
                <w:b/>
                <w:sz w:val="20"/>
                <w:szCs w:val="20"/>
              </w:rPr>
              <w:t xml:space="preserve">Standard 4: Professional &amp; Family Collaborations </w:t>
            </w:r>
          </w:p>
          <w:p w14:paraId="0000004D" w14:textId="68F79FE3" w:rsidR="006604E6" w:rsidRDefault="000D1DE4">
            <w:pPr>
              <w:tabs>
                <w:tab w:val="left" w:pos="356"/>
              </w:tabs>
              <w:rPr>
                <w:rFonts w:ascii="Open Sans Light" w:eastAsia="Open Sans Light" w:hAnsi="Open Sans Light" w:cs="Open Sans Light"/>
                <w:b/>
                <w:sz w:val="20"/>
                <w:szCs w:val="20"/>
              </w:rPr>
            </w:pPr>
            <w:r w:rsidRPr="000D1DE4">
              <w:rPr>
                <w:rFonts w:ascii="Open Sans Light" w:eastAsia="Open Sans Light" w:hAnsi="Open Sans Light" w:cs="Open Sans Light"/>
                <w:b/>
                <w:sz w:val="20"/>
                <w:szCs w:val="20"/>
              </w:rPr>
              <w:t xml:space="preserve">The Secondary Education Unified (SEU) 6-12 teacher candidate engages, empowers, and partners with families, professionals, and agencies using ethical and culturally </w:t>
            </w:r>
            <w:r w:rsidRPr="000D1DE4">
              <w:rPr>
                <w:rFonts w:ascii="Open Sans Light" w:eastAsia="Open Sans Light" w:hAnsi="Open Sans Light" w:cs="Open Sans Light"/>
                <w:b/>
                <w:sz w:val="20"/>
                <w:szCs w:val="20"/>
              </w:rPr>
              <w:lastRenderedPageBreak/>
              <w:t>responsive ways for effective communication and collaboration, IEP development and implementation, building relationships, program development and implementation, to fully meet the needs and rights of all students.</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70095027" w14:textId="77777777" w:rsidR="000D1DE4" w:rsidRDefault="000D1DE4">
            <w:pPr>
              <w:tabs>
                <w:tab w:val="left" w:pos="356"/>
              </w:tabs>
              <w:rPr>
                <w:rFonts w:ascii="Open Sans Light" w:eastAsia="Open Sans Light" w:hAnsi="Open Sans Light" w:cs="Open Sans Light"/>
                <w:b/>
                <w:sz w:val="20"/>
                <w:szCs w:val="20"/>
              </w:rPr>
            </w:pPr>
            <w:r w:rsidRPr="000D1DE4">
              <w:rPr>
                <w:rFonts w:ascii="Open Sans Light" w:eastAsia="Open Sans Light" w:hAnsi="Open Sans Light" w:cs="Open Sans Light"/>
                <w:b/>
                <w:sz w:val="20"/>
                <w:szCs w:val="20"/>
              </w:rPr>
              <w:t xml:space="preserve">Standard 5: Behavior and Classroom Management </w:t>
            </w:r>
          </w:p>
          <w:p w14:paraId="0000004F" w14:textId="14C8A25C" w:rsidR="006604E6" w:rsidRDefault="000D1DE4">
            <w:pPr>
              <w:tabs>
                <w:tab w:val="left" w:pos="356"/>
              </w:tabs>
              <w:rPr>
                <w:rFonts w:ascii="Open Sans Light" w:eastAsia="Open Sans Light" w:hAnsi="Open Sans Light" w:cs="Open Sans Light"/>
                <w:b/>
                <w:sz w:val="20"/>
                <w:szCs w:val="20"/>
              </w:rPr>
            </w:pPr>
            <w:r w:rsidRPr="000D1DE4">
              <w:rPr>
                <w:rFonts w:ascii="Open Sans Light" w:eastAsia="Open Sans Light" w:hAnsi="Open Sans Light" w:cs="Open Sans Light"/>
                <w:b/>
                <w:sz w:val="20"/>
                <w:szCs w:val="20"/>
              </w:rPr>
              <w:t>The Secondary Education Unified (SEU) 6-12 teacher candidate demonstrates knowledge and skill in the effective organization of physical space, the establishment of classroom rules and routines to manage student behavior, and the provision of an environment conducive to learning; the use of problem solving models, including Positive Behavioral Interventions and Supports (PBIS) within the Multi-Tier System of Support (MTSS) framework; conducts Functional Behavioral Assessments (FBA), and develops Behavior Intervention Plans (BIP) to manage behavior and facilitate appropriate behavioral responses; demonstrates cultural sensitivity in the development and use of social skills curricula; and promotes the self-determination skills of learners.</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09354550" w14:textId="77777777" w:rsidR="000B5015" w:rsidRDefault="000B5015">
            <w:pPr>
              <w:tabs>
                <w:tab w:val="left" w:pos="356"/>
              </w:tabs>
              <w:rPr>
                <w:rFonts w:ascii="Open Sans Light" w:eastAsia="Open Sans Light" w:hAnsi="Open Sans Light" w:cs="Open Sans Light"/>
                <w:b/>
                <w:sz w:val="20"/>
                <w:szCs w:val="20"/>
              </w:rPr>
            </w:pPr>
            <w:r w:rsidRPr="000B5015">
              <w:rPr>
                <w:rFonts w:ascii="Open Sans Light" w:eastAsia="Open Sans Light" w:hAnsi="Open Sans Light" w:cs="Open Sans Light"/>
                <w:b/>
                <w:sz w:val="20"/>
                <w:szCs w:val="20"/>
              </w:rPr>
              <w:t xml:space="preserve">Standard 6: English Language Arts </w:t>
            </w:r>
          </w:p>
          <w:p w14:paraId="00000051" w14:textId="322D26C6" w:rsidR="006604E6" w:rsidRDefault="000B5015">
            <w:pPr>
              <w:tabs>
                <w:tab w:val="left" w:pos="356"/>
              </w:tabs>
              <w:rPr>
                <w:rFonts w:ascii="Open Sans Light" w:eastAsia="Open Sans Light" w:hAnsi="Open Sans Light" w:cs="Open Sans Light"/>
                <w:b/>
                <w:sz w:val="20"/>
                <w:szCs w:val="20"/>
              </w:rPr>
            </w:pPr>
            <w:r w:rsidRPr="000B5015">
              <w:rPr>
                <w:rFonts w:ascii="Open Sans Light" w:eastAsia="Open Sans Light" w:hAnsi="Open Sans Light" w:cs="Open Sans Light"/>
                <w:b/>
                <w:sz w:val="20"/>
                <w:szCs w:val="20"/>
              </w:rPr>
              <w:t>The Secondary Education Unified (SEU) 6-12 teacher candidate demonstrates knowledge of English language arts subject matter content that specifically includes literature, multimedia texts, language, and writing, as well as knowledge of the nature of adolescents as readers. Given this knowledge, the Secondary Education Unified (SEU) 6-12 teacher candidate plans instruction and designs assessments for reading, the study of literature, and composing texts (i.e. oral, written, and visual) to promote learning for all students.</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19B1D44B" w14:textId="77777777" w:rsidR="000B5015" w:rsidRDefault="000B5015">
            <w:pPr>
              <w:tabs>
                <w:tab w:val="left" w:pos="356"/>
              </w:tabs>
              <w:rPr>
                <w:rFonts w:ascii="Open Sans Light" w:eastAsia="Open Sans Light" w:hAnsi="Open Sans Light" w:cs="Open Sans Light"/>
                <w:b/>
                <w:sz w:val="20"/>
                <w:szCs w:val="20"/>
              </w:rPr>
            </w:pPr>
            <w:r w:rsidRPr="000B5015">
              <w:rPr>
                <w:rFonts w:ascii="Open Sans Light" w:eastAsia="Open Sans Light" w:hAnsi="Open Sans Light" w:cs="Open Sans Light"/>
                <w:b/>
                <w:sz w:val="20"/>
                <w:szCs w:val="20"/>
              </w:rPr>
              <w:t xml:space="preserve">Standard 7: Mathematics </w:t>
            </w:r>
          </w:p>
          <w:p w14:paraId="00000053" w14:textId="745FC913" w:rsidR="006604E6" w:rsidRDefault="000B5015">
            <w:pPr>
              <w:tabs>
                <w:tab w:val="left" w:pos="356"/>
              </w:tabs>
              <w:rPr>
                <w:rFonts w:ascii="Open Sans Light" w:eastAsia="Open Sans Light" w:hAnsi="Open Sans Light" w:cs="Open Sans Light"/>
                <w:b/>
                <w:sz w:val="20"/>
                <w:szCs w:val="20"/>
              </w:rPr>
            </w:pPr>
            <w:r w:rsidRPr="000B5015">
              <w:rPr>
                <w:rFonts w:ascii="Open Sans Light" w:eastAsia="Open Sans Light" w:hAnsi="Open Sans Light" w:cs="Open Sans Light"/>
                <w:b/>
                <w:sz w:val="20"/>
                <w:szCs w:val="20"/>
              </w:rPr>
              <w:t xml:space="preserve">The Secondary Education Unified (SEU) 6-12 teacher candidate understands the </w:t>
            </w:r>
            <w:r w:rsidRPr="000B5015">
              <w:rPr>
                <w:rFonts w:ascii="Open Sans Light" w:eastAsia="Open Sans Light" w:hAnsi="Open Sans Light" w:cs="Open Sans Light"/>
                <w:b/>
                <w:sz w:val="20"/>
                <w:szCs w:val="20"/>
              </w:rPr>
              <w:lastRenderedPageBreak/>
              <w:t>conceptual foundations of mathematics and can demonstrate and apply knowledge of major mathematics concepts connections, applications, and how conceptual understanding leads to an understanding of algorithms and procedures, within and among number and quantity, algebra including linear and abstract concepts, Euclidian and non-Euclidian geometries, statistics and probability. The Secondary Education Unified (SEU) 6-12 teacher candidate applies knowledge of curriculum standards for mathematics and their relationship to student learning within and across mathematical domains. They incorporate research-based mathematical experiences and include multiple instructional strategies and mathematics-specific technological tools in their teaching to develop all students’ mathematical understanding and proficiency. They provide students with opportunities to do mathematics – talking about it and connecting it to both theoretical and real-world contexts. They plan, select, implement, interpret, and use formative and summative assessments for monitoring student learning, measuring student mathematical understanding, and informing practice.</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2A1A348A" w14:textId="77777777" w:rsidR="000B5015" w:rsidRDefault="000B5015">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B5015">
              <w:rPr>
                <w:rFonts w:ascii="Open Sans Light" w:eastAsia="Open Sans Light" w:hAnsi="Open Sans Light" w:cs="Open Sans Light"/>
                <w:b/>
                <w:color w:val="000000"/>
                <w:sz w:val="20"/>
                <w:szCs w:val="20"/>
              </w:rPr>
              <w:t xml:space="preserve">Standard 8: Co-teaching and Paraeducators </w:t>
            </w:r>
          </w:p>
          <w:p w14:paraId="00000055" w14:textId="1D24DC0A" w:rsidR="006604E6" w:rsidRDefault="000B5015">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B5015">
              <w:rPr>
                <w:rFonts w:ascii="Open Sans Light" w:eastAsia="Open Sans Light" w:hAnsi="Open Sans Light" w:cs="Open Sans Light"/>
                <w:b/>
                <w:color w:val="000000"/>
                <w:sz w:val="20"/>
                <w:szCs w:val="20"/>
              </w:rPr>
              <w:t>The Secondary Education Unified (SEU) 6-12 teacher candidate plans with co-teachers and supports co-teaching to include building relationships and utilizing paraeducators for quality educational support.</w:t>
            </w:r>
          </w:p>
        </w:tc>
        <w:tc>
          <w:tcPr>
            <w:tcW w:w="4725" w:type="dxa"/>
          </w:tcPr>
          <w:p w14:paraId="00000056" w14:textId="77777777" w:rsidR="006604E6" w:rsidRDefault="006604E6">
            <w:pPr>
              <w:rPr>
                <w:rFonts w:ascii="Open Sans Light" w:eastAsia="Open Sans Light" w:hAnsi="Open Sans Light" w:cs="Open Sans Light"/>
              </w:rPr>
            </w:pPr>
          </w:p>
        </w:tc>
      </w:tr>
      <w:tr w:rsidR="000D1DE4" w14:paraId="56DBB2B6" w14:textId="77777777">
        <w:tc>
          <w:tcPr>
            <w:tcW w:w="4320" w:type="dxa"/>
          </w:tcPr>
          <w:p w14:paraId="6E38665B" w14:textId="77777777" w:rsidR="000B5015" w:rsidRDefault="000B5015">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B5015">
              <w:rPr>
                <w:rFonts w:ascii="Open Sans Light" w:eastAsia="Open Sans Light" w:hAnsi="Open Sans Light" w:cs="Open Sans Light"/>
                <w:b/>
                <w:color w:val="000000"/>
                <w:sz w:val="20"/>
                <w:szCs w:val="20"/>
              </w:rPr>
              <w:t xml:space="preserve">Standard 9: Transition </w:t>
            </w:r>
          </w:p>
          <w:p w14:paraId="0F2872BB" w14:textId="40112EAD" w:rsidR="000D1DE4" w:rsidRDefault="000B5015">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B5015">
              <w:rPr>
                <w:rFonts w:ascii="Open Sans Light" w:eastAsia="Open Sans Light" w:hAnsi="Open Sans Light" w:cs="Open Sans Light"/>
                <w:b/>
                <w:color w:val="000000"/>
                <w:sz w:val="20"/>
                <w:szCs w:val="20"/>
              </w:rPr>
              <w:t>The Secondary Education Unified (SEU) 6-12 teacher addresses college and career readiness, self-determination and transitions to adulthood.</w:t>
            </w:r>
          </w:p>
        </w:tc>
        <w:tc>
          <w:tcPr>
            <w:tcW w:w="4725" w:type="dxa"/>
          </w:tcPr>
          <w:p w14:paraId="1DC62DE7" w14:textId="77777777" w:rsidR="000D1DE4" w:rsidRDefault="000D1DE4">
            <w:pPr>
              <w:rPr>
                <w:rFonts w:ascii="Open Sans Light" w:eastAsia="Open Sans Light" w:hAnsi="Open Sans Light" w:cs="Open Sans Light"/>
              </w:rPr>
            </w:pPr>
          </w:p>
        </w:tc>
      </w:tr>
      <w:tr w:rsidR="000D1DE4" w14:paraId="71D7E31F" w14:textId="77777777">
        <w:tc>
          <w:tcPr>
            <w:tcW w:w="4320" w:type="dxa"/>
          </w:tcPr>
          <w:p w14:paraId="572A887B" w14:textId="77777777" w:rsidR="000B5015" w:rsidRDefault="000B5015">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B5015">
              <w:rPr>
                <w:rFonts w:ascii="Open Sans Light" w:eastAsia="Open Sans Light" w:hAnsi="Open Sans Light" w:cs="Open Sans Light"/>
                <w:b/>
                <w:color w:val="000000"/>
                <w:sz w:val="20"/>
                <w:szCs w:val="20"/>
              </w:rPr>
              <w:t xml:space="preserve">Standard 10: Professional and Ethical Practice </w:t>
            </w:r>
          </w:p>
          <w:p w14:paraId="40EC3E15" w14:textId="07BC2029" w:rsidR="000D1DE4" w:rsidRDefault="000B5015">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B5015">
              <w:rPr>
                <w:rFonts w:ascii="Open Sans Light" w:eastAsia="Open Sans Light" w:hAnsi="Open Sans Light" w:cs="Open Sans Light"/>
                <w:b/>
                <w:color w:val="000000"/>
                <w:sz w:val="20"/>
                <w:szCs w:val="20"/>
              </w:rPr>
              <w:lastRenderedPageBreak/>
              <w:t>The Secondary Education Unified (SEU) 6-12 teacher candidates identify and conduct themselves as members of the Secondary education profession. They know and use ethical guidelines and other professional standards. They are continuous, collaborative learners who engage in reflective practice, demonstrate critical perspectives, and make informed and ethical decisions. They are informed advocates for sound educational practices and policies.</w:t>
            </w:r>
          </w:p>
        </w:tc>
        <w:tc>
          <w:tcPr>
            <w:tcW w:w="4725" w:type="dxa"/>
          </w:tcPr>
          <w:p w14:paraId="4216701D" w14:textId="77777777" w:rsidR="000D1DE4" w:rsidRDefault="000D1DE4">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F66207">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4EE0BDD0" w14:textId="77777777" w:rsidR="000D1DE4" w:rsidRPr="000D1DE4" w:rsidRDefault="000D1DE4" w:rsidP="000D1DE4">
            <w:pPr>
              <w:shd w:val="clear" w:color="auto" w:fill="FFFFFF"/>
              <w:tabs>
                <w:tab w:val="left" w:pos="360"/>
              </w:tabs>
              <w:rPr>
                <w:rFonts w:ascii="Open Sans Light" w:eastAsia="Open Sans Light" w:hAnsi="Open Sans Light" w:cs="Open Sans Light"/>
                <w:b/>
                <w:bCs/>
                <w:sz w:val="22"/>
                <w:szCs w:val="22"/>
              </w:rPr>
            </w:pPr>
            <w:r w:rsidRPr="000D1DE4">
              <w:rPr>
                <w:rFonts w:ascii="Open Sans Light" w:eastAsia="Open Sans Light" w:hAnsi="Open Sans Light" w:cs="Open Sans Light"/>
                <w:b/>
                <w:bCs/>
                <w:sz w:val="22"/>
                <w:szCs w:val="22"/>
              </w:rPr>
              <w:t xml:space="preserve">Standard 1: Characteristics/Legal/Historical/Philosophical Foundations </w:t>
            </w:r>
          </w:p>
          <w:p w14:paraId="00000070" w14:textId="1EDEB047" w:rsidR="006604E6" w:rsidRDefault="000D1DE4" w:rsidP="000D1DE4">
            <w:pPr>
              <w:shd w:val="clear" w:color="auto" w:fill="FFFFFF"/>
              <w:tabs>
                <w:tab w:val="left" w:pos="360"/>
              </w:tabs>
              <w:rPr>
                <w:rFonts w:ascii="Open Sans Light" w:eastAsia="Open Sans Light" w:hAnsi="Open Sans Light" w:cs="Open Sans Light"/>
                <w:sz w:val="22"/>
                <w:szCs w:val="22"/>
              </w:rPr>
            </w:pPr>
            <w:r w:rsidRPr="000D1DE4">
              <w:rPr>
                <w:rFonts w:ascii="Open Sans Light" w:eastAsia="Open Sans Light" w:hAnsi="Open Sans Light" w:cs="Open Sans Light"/>
                <w:sz w:val="22"/>
                <w:szCs w:val="22"/>
              </w:rPr>
              <w:t>The Secondary Education Unified (SEU) 6-12 teacher candidate understands the historical and philosophical foundations of general, special, and inclusive education, the development and characteristics of all learners including those with disabilities, the impacts of individual differences on education, and the legal parameters appropriate for each learner's educational needs.</w:t>
            </w:r>
          </w:p>
          <w:p w14:paraId="6026DE03" w14:textId="77777777" w:rsidR="000D1DE4" w:rsidRPr="007F1B6D" w:rsidRDefault="000D1DE4" w:rsidP="000D1DE4">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F66207">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17A328DC" w14:textId="77777777" w:rsidR="000D1DE4" w:rsidRPr="000D1DE4" w:rsidRDefault="000D1DE4" w:rsidP="000D1DE4">
            <w:pPr>
              <w:shd w:val="clear" w:color="auto" w:fill="FFFFFF"/>
              <w:tabs>
                <w:tab w:val="left" w:pos="360"/>
              </w:tabs>
              <w:rPr>
                <w:rFonts w:ascii="Open Sans Light" w:eastAsia="Open Sans Light" w:hAnsi="Open Sans Light" w:cs="Open Sans Light"/>
                <w:b/>
                <w:bCs/>
                <w:sz w:val="22"/>
                <w:szCs w:val="22"/>
              </w:rPr>
            </w:pPr>
            <w:r w:rsidRPr="000D1DE4">
              <w:rPr>
                <w:rFonts w:ascii="Open Sans Light" w:eastAsia="Open Sans Light" w:hAnsi="Open Sans Light" w:cs="Open Sans Light"/>
                <w:b/>
                <w:bCs/>
                <w:sz w:val="22"/>
                <w:szCs w:val="22"/>
              </w:rPr>
              <w:t xml:space="preserve">Standard 2: Assessment </w:t>
            </w:r>
          </w:p>
          <w:p w14:paraId="0000007B" w14:textId="696330A0" w:rsidR="006604E6" w:rsidRDefault="000D1DE4" w:rsidP="000D1DE4">
            <w:pPr>
              <w:shd w:val="clear" w:color="auto" w:fill="FFFFFF"/>
              <w:tabs>
                <w:tab w:val="left" w:pos="360"/>
              </w:tabs>
              <w:rPr>
                <w:rFonts w:ascii="Open Sans Light" w:eastAsia="Open Sans Light" w:hAnsi="Open Sans Light" w:cs="Open Sans Light"/>
                <w:sz w:val="22"/>
                <w:szCs w:val="22"/>
              </w:rPr>
            </w:pPr>
            <w:r w:rsidRPr="000D1DE4">
              <w:rPr>
                <w:rFonts w:ascii="Open Sans Light" w:eastAsia="Open Sans Light" w:hAnsi="Open Sans Light" w:cs="Open Sans Light"/>
                <w:sz w:val="22"/>
                <w:szCs w:val="22"/>
              </w:rPr>
              <w:t>The Secondary Education Unified (SEU) 6-12 teacher candidate uses a variety of assessment instruments, procedures, and technologies for learner screening, evaluation, eligibility decisions, instructional planning, progress monitoring, and technology considerations.</w:t>
            </w:r>
          </w:p>
          <w:p w14:paraId="3896E802" w14:textId="77777777" w:rsidR="000D1DE4" w:rsidRPr="007F1B6D" w:rsidRDefault="000D1DE4" w:rsidP="000D1DE4">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F66207"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15A7E17E" w14:textId="77777777" w:rsidR="000D1DE4" w:rsidRPr="000D1DE4" w:rsidRDefault="000D1DE4" w:rsidP="000D1DE4">
            <w:pPr>
              <w:shd w:val="clear" w:color="auto" w:fill="FFFFFF"/>
              <w:tabs>
                <w:tab w:val="left" w:pos="360"/>
              </w:tabs>
              <w:rPr>
                <w:rFonts w:ascii="Open Sans Light" w:eastAsia="Open Sans Light" w:hAnsi="Open Sans Light" w:cs="Open Sans Light"/>
                <w:b/>
                <w:bCs/>
                <w:sz w:val="22"/>
                <w:szCs w:val="22"/>
              </w:rPr>
            </w:pPr>
            <w:r w:rsidRPr="000D1DE4">
              <w:rPr>
                <w:rFonts w:ascii="Open Sans Light" w:eastAsia="Open Sans Light" w:hAnsi="Open Sans Light" w:cs="Open Sans Light"/>
                <w:b/>
                <w:bCs/>
                <w:sz w:val="22"/>
                <w:szCs w:val="22"/>
              </w:rPr>
              <w:t xml:space="preserve">Standard 3: Planning Instruction considering individual learner characteristics </w:t>
            </w:r>
          </w:p>
          <w:p w14:paraId="06FA4A83" w14:textId="64824A4E" w:rsidR="00840183" w:rsidRDefault="000D1DE4" w:rsidP="000D1DE4">
            <w:pPr>
              <w:shd w:val="clear" w:color="auto" w:fill="FFFFFF"/>
              <w:tabs>
                <w:tab w:val="left" w:pos="360"/>
              </w:tabs>
              <w:rPr>
                <w:rFonts w:ascii="Open Sans Light" w:eastAsia="Open Sans Light" w:hAnsi="Open Sans Light" w:cs="Open Sans Light"/>
                <w:sz w:val="22"/>
                <w:szCs w:val="22"/>
              </w:rPr>
            </w:pPr>
            <w:r w:rsidRPr="000D1DE4">
              <w:rPr>
                <w:rFonts w:ascii="Open Sans Light" w:eastAsia="Open Sans Light" w:hAnsi="Open Sans Light" w:cs="Open Sans Light"/>
                <w:sz w:val="22"/>
                <w:szCs w:val="22"/>
              </w:rPr>
              <w:t xml:space="preserve">The Secondary Education Unified (SEU) 6-12 teacher candidate uses the Individual Educational Programs (IEPs), learning environments, consideration of individual learner </w:t>
            </w:r>
            <w:r w:rsidRPr="000D1DE4">
              <w:rPr>
                <w:rFonts w:ascii="Open Sans Light" w:eastAsia="Open Sans Light" w:hAnsi="Open Sans Light" w:cs="Open Sans Light"/>
                <w:sz w:val="22"/>
                <w:szCs w:val="22"/>
              </w:rPr>
              <w:lastRenderedPageBreak/>
              <w:t>characteristics, assessment, knowledge of high leverage pedagogical practices, and technology for effective instructional planning and implementation.</w:t>
            </w:r>
          </w:p>
          <w:p w14:paraId="6B7888B6" w14:textId="77777777" w:rsidR="000D1DE4" w:rsidRPr="007F1B6D" w:rsidRDefault="000D1DE4" w:rsidP="000D1DE4">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2DA1E622" w14:textId="77777777" w:rsidR="000D1DE4" w:rsidRPr="000D1DE4" w:rsidRDefault="000D1DE4" w:rsidP="000D1DE4">
            <w:pPr>
              <w:shd w:val="clear" w:color="auto" w:fill="FFFFFF"/>
              <w:tabs>
                <w:tab w:val="left" w:pos="360"/>
              </w:tabs>
              <w:rPr>
                <w:rFonts w:ascii="Open Sans Light" w:eastAsia="Open Sans Light" w:hAnsi="Open Sans Light" w:cs="Open Sans Light"/>
                <w:b/>
                <w:bCs/>
                <w:sz w:val="22"/>
                <w:szCs w:val="22"/>
              </w:rPr>
            </w:pPr>
            <w:r w:rsidRPr="000D1DE4">
              <w:rPr>
                <w:rFonts w:ascii="Open Sans Light" w:eastAsia="Open Sans Light" w:hAnsi="Open Sans Light" w:cs="Open Sans Light"/>
                <w:b/>
                <w:bCs/>
                <w:sz w:val="22"/>
                <w:szCs w:val="22"/>
              </w:rPr>
              <w:t xml:space="preserve">Standard 4: Professional &amp; Family Collaborations </w:t>
            </w:r>
          </w:p>
          <w:p w14:paraId="230A3C42" w14:textId="370682D0" w:rsidR="00840183" w:rsidRDefault="000D1DE4" w:rsidP="000D1DE4">
            <w:pPr>
              <w:shd w:val="clear" w:color="auto" w:fill="FFFFFF"/>
              <w:tabs>
                <w:tab w:val="left" w:pos="360"/>
              </w:tabs>
              <w:rPr>
                <w:rFonts w:ascii="Open Sans Light" w:eastAsia="Open Sans Light" w:hAnsi="Open Sans Light" w:cs="Open Sans Light"/>
                <w:sz w:val="22"/>
                <w:szCs w:val="22"/>
              </w:rPr>
            </w:pPr>
            <w:r w:rsidRPr="000D1DE4">
              <w:rPr>
                <w:rFonts w:ascii="Open Sans Light" w:eastAsia="Open Sans Light" w:hAnsi="Open Sans Light" w:cs="Open Sans Light"/>
                <w:sz w:val="22"/>
                <w:szCs w:val="22"/>
              </w:rPr>
              <w:t>The Secondary Education Unified (SEU) 6-12 teacher candidate engages, empowers, and partners with families, professionals, and agencies using ethical and culturally responsive ways for effective communication and collaboration, IEP development and implementation, building relationships, program development and implementation, to fully meet the needs and rights of all students.</w:t>
            </w:r>
          </w:p>
          <w:p w14:paraId="03C2DA86" w14:textId="77777777" w:rsidR="000D1DE4" w:rsidRPr="007F1B6D" w:rsidRDefault="000D1DE4" w:rsidP="000D1DE4">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F66207"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9521407" w14:textId="77777777" w:rsidR="00840183" w:rsidRDefault="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38A40AC6" w14:textId="77777777" w:rsidTr="003C07CA">
        <w:tc>
          <w:tcPr>
            <w:tcW w:w="9360" w:type="dxa"/>
          </w:tcPr>
          <w:p w14:paraId="69CC60F3" w14:textId="77777777" w:rsidR="000D1DE4" w:rsidRPr="000D1DE4" w:rsidRDefault="000D1DE4" w:rsidP="000D1DE4">
            <w:pPr>
              <w:shd w:val="clear" w:color="auto" w:fill="FFFFFF"/>
              <w:tabs>
                <w:tab w:val="left" w:pos="360"/>
              </w:tabs>
              <w:rPr>
                <w:rFonts w:ascii="Open Sans Light" w:eastAsia="Open Sans Light" w:hAnsi="Open Sans Light" w:cs="Open Sans Light"/>
                <w:b/>
                <w:bCs/>
                <w:sz w:val="22"/>
                <w:szCs w:val="22"/>
              </w:rPr>
            </w:pPr>
            <w:r w:rsidRPr="000D1DE4">
              <w:rPr>
                <w:rFonts w:ascii="Open Sans Light" w:eastAsia="Open Sans Light" w:hAnsi="Open Sans Light" w:cs="Open Sans Light"/>
                <w:b/>
                <w:bCs/>
                <w:sz w:val="22"/>
                <w:szCs w:val="22"/>
              </w:rPr>
              <w:t xml:space="preserve">Standard 5: Behavior and Classroom Management </w:t>
            </w:r>
          </w:p>
          <w:p w14:paraId="58707563" w14:textId="60B032F3" w:rsidR="005C3B08" w:rsidRDefault="000D1DE4" w:rsidP="000D1DE4">
            <w:pPr>
              <w:shd w:val="clear" w:color="auto" w:fill="FFFFFF"/>
              <w:tabs>
                <w:tab w:val="left" w:pos="360"/>
              </w:tabs>
              <w:rPr>
                <w:rFonts w:ascii="Open Sans Light" w:eastAsia="Open Sans Light" w:hAnsi="Open Sans Light" w:cs="Open Sans Light"/>
                <w:sz w:val="22"/>
                <w:szCs w:val="22"/>
              </w:rPr>
            </w:pPr>
            <w:r w:rsidRPr="000D1DE4">
              <w:rPr>
                <w:rFonts w:ascii="Open Sans Light" w:eastAsia="Open Sans Light" w:hAnsi="Open Sans Light" w:cs="Open Sans Light"/>
                <w:sz w:val="22"/>
                <w:szCs w:val="22"/>
              </w:rPr>
              <w:t>The Secondary Education Unified (SEU) 6-12 teacher candidate demonstrates knowledge and skill in the effective organization of physical space, the establishment of classroom rules and routines to manage student behavior, and the provision of an environment conducive to learning; the use of problem solving models, including Positive Behavioral Interventions and Supports (PBIS) within the Multi-Tier System of Support (MTSS) framework; conducts Functional Behavioral Assessments (FBA), and develops Behavior Intervention Plans (BIP) to manage behavior and facilitate appropriate behavioral responses; demonstrates cultural sensitivity in the development and use of social skills curricula; and promotes the self-determination skills of learners.</w:t>
            </w:r>
          </w:p>
          <w:p w14:paraId="1DA2F4C8" w14:textId="77777777" w:rsidR="000D1DE4" w:rsidRPr="007F1B6D" w:rsidRDefault="000D1DE4" w:rsidP="000D1DE4">
            <w:pPr>
              <w:shd w:val="clear" w:color="auto" w:fill="FFFFFF"/>
              <w:tabs>
                <w:tab w:val="left" w:pos="360"/>
              </w:tabs>
              <w:rPr>
                <w:rFonts w:ascii="Open Sans Light" w:eastAsia="Open Sans Light" w:hAnsi="Open Sans Light" w:cs="Open Sans Light"/>
                <w:sz w:val="22"/>
                <w:szCs w:val="22"/>
              </w:rPr>
            </w:pPr>
          </w:p>
          <w:p w14:paraId="6D5438F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31A7269"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83E2599" w14:textId="77777777" w:rsidR="005C3B08" w:rsidRPr="00840183" w:rsidRDefault="005C3B08" w:rsidP="005C3B08">
      <w:pPr>
        <w:rPr>
          <w:rFonts w:ascii="Open Sans Light" w:eastAsia="Open Sans Light" w:hAnsi="Open Sans Light" w:cs="Open Sans Light"/>
          <w:b/>
          <w:sz w:val="22"/>
          <w:szCs w:val="22"/>
        </w:rPr>
      </w:pPr>
    </w:p>
    <w:p w14:paraId="533525FD"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8FF38B9"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240B84BE" w14:textId="77777777" w:rsidTr="003C07CA">
        <w:tc>
          <w:tcPr>
            <w:tcW w:w="9360" w:type="dxa"/>
          </w:tcPr>
          <w:p w14:paraId="09E2821D" w14:textId="77777777" w:rsidR="000B5015" w:rsidRPr="000B5015" w:rsidRDefault="000B5015" w:rsidP="000B5015">
            <w:pPr>
              <w:shd w:val="clear" w:color="auto" w:fill="FFFFFF"/>
              <w:tabs>
                <w:tab w:val="left" w:pos="360"/>
              </w:tabs>
              <w:rPr>
                <w:rFonts w:ascii="Open Sans Light" w:eastAsia="Open Sans Light" w:hAnsi="Open Sans Light" w:cs="Open Sans Light"/>
                <w:b/>
                <w:bCs/>
                <w:sz w:val="22"/>
                <w:szCs w:val="22"/>
              </w:rPr>
            </w:pPr>
            <w:r w:rsidRPr="000B5015">
              <w:rPr>
                <w:rFonts w:ascii="Open Sans Light" w:eastAsia="Open Sans Light" w:hAnsi="Open Sans Light" w:cs="Open Sans Light"/>
                <w:b/>
                <w:bCs/>
                <w:sz w:val="22"/>
                <w:szCs w:val="22"/>
              </w:rPr>
              <w:t xml:space="preserve">Standard 6: English Language Arts </w:t>
            </w:r>
          </w:p>
          <w:p w14:paraId="6FFAA3D4" w14:textId="51A65359" w:rsidR="005C3B08" w:rsidRDefault="000B5015" w:rsidP="000B5015">
            <w:pPr>
              <w:shd w:val="clear" w:color="auto" w:fill="FFFFFF"/>
              <w:tabs>
                <w:tab w:val="left" w:pos="360"/>
              </w:tabs>
              <w:rPr>
                <w:rFonts w:ascii="Open Sans Light" w:eastAsia="Open Sans Light" w:hAnsi="Open Sans Light" w:cs="Open Sans Light"/>
                <w:sz w:val="22"/>
                <w:szCs w:val="22"/>
              </w:rPr>
            </w:pPr>
            <w:r w:rsidRPr="000B5015">
              <w:rPr>
                <w:rFonts w:ascii="Open Sans Light" w:eastAsia="Open Sans Light" w:hAnsi="Open Sans Light" w:cs="Open Sans Light"/>
                <w:sz w:val="22"/>
                <w:szCs w:val="22"/>
              </w:rPr>
              <w:t xml:space="preserve">The Secondary Education Unified (SEU) 6-12 teacher candidate demonstrates knowledge of English language arts subject matter content that specifically includes literature, multimedia texts, language, and writing, as well as knowledge of the nature of adolescents as readers. Given this knowledge, the Secondary Education Unified (SEU) 6-12 teacher candidate plans </w:t>
            </w:r>
            <w:r w:rsidRPr="000B5015">
              <w:rPr>
                <w:rFonts w:ascii="Open Sans Light" w:eastAsia="Open Sans Light" w:hAnsi="Open Sans Light" w:cs="Open Sans Light"/>
                <w:sz w:val="22"/>
                <w:szCs w:val="22"/>
              </w:rPr>
              <w:lastRenderedPageBreak/>
              <w:t>instruction and designs assessments for reading, the study of literature, and composing texts (i.e. oral, written, and visual) to promote learning for all students.</w:t>
            </w:r>
          </w:p>
          <w:p w14:paraId="2B445CC5" w14:textId="77777777" w:rsidR="000B5015" w:rsidRPr="007F1B6D" w:rsidRDefault="000B5015" w:rsidP="000B5015">
            <w:pPr>
              <w:shd w:val="clear" w:color="auto" w:fill="FFFFFF"/>
              <w:tabs>
                <w:tab w:val="left" w:pos="360"/>
              </w:tabs>
              <w:rPr>
                <w:rFonts w:ascii="Open Sans Light" w:eastAsia="Open Sans Light" w:hAnsi="Open Sans Light" w:cs="Open Sans Light"/>
                <w:sz w:val="22"/>
                <w:szCs w:val="22"/>
              </w:rPr>
            </w:pPr>
          </w:p>
          <w:p w14:paraId="7D6BDE1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E343615"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8F040F1" w14:textId="77777777" w:rsidR="005C3B08" w:rsidRPr="00840183" w:rsidRDefault="005C3B08" w:rsidP="005C3B08">
      <w:pPr>
        <w:rPr>
          <w:rFonts w:ascii="Open Sans Light" w:eastAsia="Open Sans Light" w:hAnsi="Open Sans Light" w:cs="Open Sans Light"/>
          <w:b/>
          <w:sz w:val="22"/>
          <w:szCs w:val="22"/>
        </w:rPr>
      </w:pPr>
    </w:p>
    <w:p w14:paraId="63F8482C"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6F5AC08"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4530B37B" w14:textId="77777777" w:rsidTr="003C07CA">
        <w:tc>
          <w:tcPr>
            <w:tcW w:w="9360" w:type="dxa"/>
          </w:tcPr>
          <w:p w14:paraId="702CF713" w14:textId="77777777" w:rsidR="000B5015" w:rsidRPr="000B5015" w:rsidRDefault="000B5015" w:rsidP="000B5015">
            <w:pPr>
              <w:shd w:val="clear" w:color="auto" w:fill="FFFFFF"/>
              <w:tabs>
                <w:tab w:val="left" w:pos="360"/>
              </w:tabs>
              <w:rPr>
                <w:rFonts w:ascii="Open Sans Light" w:eastAsia="Open Sans Light" w:hAnsi="Open Sans Light" w:cs="Open Sans Light"/>
                <w:b/>
                <w:bCs/>
                <w:sz w:val="22"/>
                <w:szCs w:val="22"/>
              </w:rPr>
            </w:pPr>
            <w:r w:rsidRPr="000B5015">
              <w:rPr>
                <w:rFonts w:ascii="Open Sans Light" w:eastAsia="Open Sans Light" w:hAnsi="Open Sans Light" w:cs="Open Sans Light"/>
                <w:b/>
                <w:bCs/>
                <w:sz w:val="22"/>
                <w:szCs w:val="22"/>
              </w:rPr>
              <w:t xml:space="preserve">Standard 7: Mathematics </w:t>
            </w:r>
          </w:p>
          <w:p w14:paraId="6F7E9DF8" w14:textId="080F9575" w:rsidR="005C3B08" w:rsidRDefault="000B5015" w:rsidP="000B5015">
            <w:pPr>
              <w:shd w:val="clear" w:color="auto" w:fill="FFFFFF"/>
              <w:tabs>
                <w:tab w:val="left" w:pos="360"/>
              </w:tabs>
              <w:rPr>
                <w:rFonts w:ascii="Open Sans Light" w:eastAsia="Open Sans Light" w:hAnsi="Open Sans Light" w:cs="Open Sans Light"/>
                <w:sz w:val="22"/>
                <w:szCs w:val="22"/>
              </w:rPr>
            </w:pPr>
            <w:r w:rsidRPr="000B5015">
              <w:rPr>
                <w:rFonts w:ascii="Open Sans Light" w:eastAsia="Open Sans Light" w:hAnsi="Open Sans Light" w:cs="Open Sans Light"/>
                <w:sz w:val="22"/>
                <w:szCs w:val="22"/>
              </w:rPr>
              <w:t>The Secondary Education Unified (SEU) 6-12 teacher candidate understands the conceptual foundations of mathematics and can demonstrate and apply knowledge of major mathematics concepts connections, applications, and how conceptual understanding leads to an understanding of algorithms and procedures, within and among number and quantity, algebra including linear and abstract concepts, Euclidian and non-Euclidian geometries, statistics and probability. The Secondary Education Unified (SEU) 6-12 teacher candidate applies knowledge of curriculum standards for mathematics and their relationship to student learning within and across mathematical domains. They incorporate research-based mathematical experiences and include multiple instructional strategies and mathematics-specific technological tools in their teaching to develop all students’ mathematical understanding and proficiency. They provide students with opportunities to do mathematics – talking about it and connecting it to both theoretical and real-world contexts. They plan, select, implement, interpret, and use formative and summative assessments for monitoring student learning, measuring student mathematical understanding, and informing practice.</w:t>
            </w:r>
          </w:p>
          <w:p w14:paraId="728316F9" w14:textId="77777777" w:rsidR="000B5015" w:rsidRPr="007F1B6D" w:rsidRDefault="000B5015" w:rsidP="000B5015">
            <w:pPr>
              <w:shd w:val="clear" w:color="auto" w:fill="FFFFFF"/>
              <w:tabs>
                <w:tab w:val="left" w:pos="360"/>
              </w:tabs>
              <w:rPr>
                <w:rFonts w:ascii="Open Sans Light" w:eastAsia="Open Sans Light" w:hAnsi="Open Sans Light" w:cs="Open Sans Light"/>
                <w:sz w:val="22"/>
                <w:szCs w:val="22"/>
              </w:rPr>
            </w:pPr>
          </w:p>
          <w:p w14:paraId="677F35FE"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64737B4"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78624D46" w14:textId="77777777" w:rsidR="005C3B08" w:rsidRPr="00840183" w:rsidRDefault="005C3B08" w:rsidP="005C3B08">
      <w:pPr>
        <w:rPr>
          <w:rFonts w:ascii="Open Sans Light" w:eastAsia="Open Sans Light" w:hAnsi="Open Sans Light" w:cs="Open Sans Light"/>
          <w:b/>
          <w:sz w:val="22"/>
          <w:szCs w:val="22"/>
        </w:rPr>
      </w:pPr>
    </w:p>
    <w:p w14:paraId="6E3B5D3B" w14:textId="77777777" w:rsidR="005C3B08"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7A8F0C1B" w14:textId="77777777" w:rsidR="000D1DE4" w:rsidRPr="00AA1246" w:rsidRDefault="000D1DE4" w:rsidP="000D1DE4">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D1DE4" w:rsidRPr="007F1B6D" w14:paraId="38DCF126" w14:textId="77777777" w:rsidTr="00312ED5">
        <w:tc>
          <w:tcPr>
            <w:tcW w:w="9360" w:type="dxa"/>
          </w:tcPr>
          <w:p w14:paraId="7EF6C0D0" w14:textId="77777777" w:rsidR="000B5015" w:rsidRPr="000B5015" w:rsidRDefault="000B5015" w:rsidP="000B5015">
            <w:pPr>
              <w:shd w:val="clear" w:color="auto" w:fill="FFFFFF"/>
              <w:tabs>
                <w:tab w:val="left" w:pos="360"/>
              </w:tabs>
              <w:rPr>
                <w:rFonts w:ascii="Open Sans Light" w:eastAsia="Open Sans Light" w:hAnsi="Open Sans Light" w:cs="Open Sans Light"/>
                <w:b/>
                <w:bCs/>
                <w:sz w:val="22"/>
                <w:szCs w:val="22"/>
              </w:rPr>
            </w:pPr>
            <w:r w:rsidRPr="000B5015">
              <w:rPr>
                <w:rFonts w:ascii="Open Sans Light" w:eastAsia="Open Sans Light" w:hAnsi="Open Sans Light" w:cs="Open Sans Light"/>
                <w:b/>
                <w:bCs/>
                <w:sz w:val="22"/>
                <w:szCs w:val="22"/>
              </w:rPr>
              <w:t xml:space="preserve">Standard 8: Co-teaching and Paraeducators </w:t>
            </w:r>
          </w:p>
          <w:p w14:paraId="3F72CC99" w14:textId="5B4FE0C0" w:rsidR="000D1DE4" w:rsidRDefault="000B5015" w:rsidP="000B5015">
            <w:pPr>
              <w:shd w:val="clear" w:color="auto" w:fill="FFFFFF"/>
              <w:tabs>
                <w:tab w:val="left" w:pos="360"/>
              </w:tabs>
              <w:rPr>
                <w:rFonts w:ascii="Open Sans Light" w:eastAsia="Open Sans Light" w:hAnsi="Open Sans Light" w:cs="Open Sans Light"/>
                <w:sz w:val="22"/>
                <w:szCs w:val="22"/>
              </w:rPr>
            </w:pPr>
            <w:r w:rsidRPr="000B5015">
              <w:rPr>
                <w:rFonts w:ascii="Open Sans Light" w:eastAsia="Open Sans Light" w:hAnsi="Open Sans Light" w:cs="Open Sans Light"/>
                <w:sz w:val="22"/>
                <w:szCs w:val="22"/>
              </w:rPr>
              <w:t>The Secondary Education Unified (SEU) 6-12 teacher candidate plans with co-teachers and supports co-teaching to include building relationships and utilizing paraeducators for quality educational support.</w:t>
            </w:r>
          </w:p>
          <w:p w14:paraId="71718FD6" w14:textId="77777777" w:rsidR="000B5015" w:rsidRPr="007F1B6D" w:rsidRDefault="000B5015" w:rsidP="000B5015">
            <w:pPr>
              <w:shd w:val="clear" w:color="auto" w:fill="FFFFFF"/>
              <w:tabs>
                <w:tab w:val="left" w:pos="360"/>
              </w:tabs>
              <w:rPr>
                <w:rFonts w:ascii="Open Sans Light" w:eastAsia="Open Sans Light" w:hAnsi="Open Sans Light" w:cs="Open Sans Light"/>
                <w:sz w:val="22"/>
                <w:szCs w:val="22"/>
              </w:rPr>
            </w:pPr>
          </w:p>
          <w:p w14:paraId="321FD6C2" w14:textId="77777777" w:rsidR="000D1DE4" w:rsidRPr="007F1B6D" w:rsidRDefault="000D1DE4" w:rsidP="00312ED5">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A7EADC4" w14:textId="77777777" w:rsidR="000D1DE4" w:rsidRPr="007F1B6D" w:rsidRDefault="000D1DE4" w:rsidP="00312ED5">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F1C1A72" w14:textId="77777777" w:rsidR="000D1DE4" w:rsidRPr="00840183" w:rsidRDefault="000D1DE4" w:rsidP="000D1DE4">
      <w:pPr>
        <w:rPr>
          <w:rFonts w:ascii="Open Sans Light" w:eastAsia="Open Sans Light" w:hAnsi="Open Sans Light" w:cs="Open Sans Light"/>
          <w:b/>
          <w:sz w:val="22"/>
          <w:szCs w:val="22"/>
        </w:rPr>
      </w:pPr>
    </w:p>
    <w:p w14:paraId="442F4082" w14:textId="77777777" w:rsidR="000D1DE4" w:rsidRPr="00840183" w:rsidRDefault="000D1DE4" w:rsidP="000D1DE4">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3CAA4CC" w14:textId="77777777" w:rsidR="000D1DE4" w:rsidRPr="00AA1246" w:rsidRDefault="000D1DE4" w:rsidP="000D1DE4">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D1DE4" w:rsidRPr="007F1B6D" w14:paraId="7A17BE22" w14:textId="77777777" w:rsidTr="00312ED5">
        <w:tc>
          <w:tcPr>
            <w:tcW w:w="9360" w:type="dxa"/>
          </w:tcPr>
          <w:p w14:paraId="170B127A" w14:textId="77777777" w:rsidR="000B5015" w:rsidRPr="000B5015" w:rsidRDefault="000B5015" w:rsidP="000B5015">
            <w:pPr>
              <w:shd w:val="clear" w:color="auto" w:fill="FFFFFF"/>
              <w:tabs>
                <w:tab w:val="left" w:pos="360"/>
              </w:tabs>
              <w:rPr>
                <w:rFonts w:ascii="Open Sans Light" w:eastAsia="Open Sans Light" w:hAnsi="Open Sans Light" w:cs="Open Sans Light"/>
                <w:b/>
                <w:bCs/>
                <w:sz w:val="22"/>
                <w:szCs w:val="22"/>
              </w:rPr>
            </w:pPr>
            <w:r w:rsidRPr="000B5015">
              <w:rPr>
                <w:rFonts w:ascii="Open Sans Light" w:eastAsia="Open Sans Light" w:hAnsi="Open Sans Light" w:cs="Open Sans Light"/>
                <w:b/>
                <w:bCs/>
                <w:sz w:val="22"/>
                <w:szCs w:val="22"/>
              </w:rPr>
              <w:t xml:space="preserve">Standard 9: Transition </w:t>
            </w:r>
          </w:p>
          <w:p w14:paraId="42630143" w14:textId="1ED08E1E" w:rsidR="000D1DE4" w:rsidRDefault="000B5015" w:rsidP="000B5015">
            <w:pPr>
              <w:shd w:val="clear" w:color="auto" w:fill="FFFFFF"/>
              <w:tabs>
                <w:tab w:val="left" w:pos="360"/>
              </w:tabs>
              <w:rPr>
                <w:rFonts w:ascii="Open Sans Light" w:eastAsia="Open Sans Light" w:hAnsi="Open Sans Light" w:cs="Open Sans Light"/>
                <w:sz w:val="22"/>
                <w:szCs w:val="22"/>
              </w:rPr>
            </w:pPr>
            <w:r w:rsidRPr="000B5015">
              <w:rPr>
                <w:rFonts w:ascii="Open Sans Light" w:eastAsia="Open Sans Light" w:hAnsi="Open Sans Light" w:cs="Open Sans Light"/>
                <w:sz w:val="22"/>
                <w:szCs w:val="22"/>
              </w:rPr>
              <w:t>The Secondary Education Unified (SEU) 6-12 teacher addresses college and career readiness, self-determination and transitions to adulthood.</w:t>
            </w:r>
          </w:p>
          <w:p w14:paraId="1A111FE9" w14:textId="77777777" w:rsidR="000B5015" w:rsidRPr="007F1B6D" w:rsidRDefault="000B5015" w:rsidP="000B5015">
            <w:pPr>
              <w:shd w:val="clear" w:color="auto" w:fill="FFFFFF"/>
              <w:tabs>
                <w:tab w:val="left" w:pos="360"/>
              </w:tabs>
              <w:rPr>
                <w:rFonts w:ascii="Open Sans Light" w:eastAsia="Open Sans Light" w:hAnsi="Open Sans Light" w:cs="Open Sans Light"/>
                <w:sz w:val="22"/>
                <w:szCs w:val="22"/>
              </w:rPr>
            </w:pPr>
          </w:p>
          <w:p w14:paraId="6B343796" w14:textId="77777777" w:rsidR="000D1DE4" w:rsidRPr="007F1B6D" w:rsidRDefault="000D1DE4" w:rsidP="00312ED5">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4D4563F0" w14:textId="77777777" w:rsidR="000D1DE4" w:rsidRPr="007F1B6D" w:rsidRDefault="000D1DE4" w:rsidP="00312ED5">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7BE61748" w14:textId="77777777" w:rsidR="000D1DE4" w:rsidRPr="00840183" w:rsidRDefault="000D1DE4" w:rsidP="000D1DE4">
      <w:pPr>
        <w:rPr>
          <w:rFonts w:ascii="Open Sans Light" w:eastAsia="Open Sans Light" w:hAnsi="Open Sans Light" w:cs="Open Sans Light"/>
          <w:b/>
          <w:sz w:val="22"/>
          <w:szCs w:val="22"/>
        </w:rPr>
      </w:pPr>
    </w:p>
    <w:p w14:paraId="45182BF4" w14:textId="77777777" w:rsidR="000D1DE4" w:rsidRPr="00840183" w:rsidRDefault="000D1DE4" w:rsidP="000D1DE4">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B5B00CA" w14:textId="77777777" w:rsidR="000D1DE4" w:rsidRPr="00AA1246" w:rsidRDefault="000D1DE4" w:rsidP="000D1DE4">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D1DE4" w:rsidRPr="007F1B6D" w14:paraId="4824289E" w14:textId="77777777" w:rsidTr="00312ED5">
        <w:tc>
          <w:tcPr>
            <w:tcW w:w="9360" w:type="dxa"/>
          </w:tcPr>
          <w:p w14:paraId="2B903D0A" w14:textId="77777777" w:rsidR="000B5015" w:rsidRPr="000B5015" w:rsidRDefault="000B5015" w:rsidP="000B5015">
            <w:pPr>
              <w:shd w:val="clear" w:color="auto" w:fill="FFFFFF"/>
              <w:tabs>
                <w:tab w:val="left" w:pos="360"/>
              </w:tabs>
              <w:rPr>
                <w:rFonts w:ascii="Open Sans Light" w:eastAsia="Open Sans Light" w:hAnsi="Open Sans Light" w:cs="Open Sans Light"/>
                <w:b/>
                <w:bCs/>
                <w:sz w:val="22"/>
                <w:szCs w:val="22"/>
              </w:rPr>
            </w:pPr>
            <w:r w:rsidRPr="000B5015">
              <w:rPr>
                <w:rFonts w:ascii="Open Sans Light" w:eastAsia="Open Sans Light" w:hAnsi="Open Sans Light" w:cs="Open Sans Light"/>
                <w:b/>
                <w:bCs/>
                <w:sz w:val="22"/>
                <w:szCs w:val="22"/>
              </w:rPr>
              <w:t xml:space="preserve">Standard 10: Professional and Ethical Practice </w:t>
            </w:r>
          </w:p>
          <w:p w14:paraId="382BD222" w14:textId="578274FC" w:rsidR="000D1DE4" w:rsidRDefault="000B5015" w:rsidP="000B5015">
            <w:pPr>
              <w:shd w:val="clear" w:color="auto" w:fill="FFFFFF"/>
              <w:tabs>
                <w:tab w:val="left" w:pos="360"/>
              </w:tabs>
              <w:rPr>
                <w:rFonts w:ascii="Open Sans Light" w:eastAsia="Open Sans Light" w:hAnsi="Open Sans Light" w:cs="Open Sans Light"/>
                <w:sz w:val="22"/>
                <w:szCs w:val="22"/>
              </w:rPr>
            </w:pPr>
            <w:r w:rsidRPr="000B5015">
              <w:rPr>
                <w:rFonts w:ascii="Open Sans Light" w:eastAsia="Open Sans Light" w:hAnsi="Open Sans Light" w:cs="Open Sans Light"/>
                <w:sz w:val="22"/>
                <w:szCs w:val="22"/>
              </w:rPr>
              <w:t>The Secondary Education Unified (SEU) 6-12 teacher candidates identify and conduct themselves as members of the Secondary education profession. They know and use ethical guidelines and other professional standards. They are continuous, collaborative learners who engage in reflective practice, demonstrate critical perspectives, and make informed and ethical decisions. They are informed advocates for sound educational practices and policies.</w:t>
            </w:r>
          </w:p>
          <w:p w14:paraId="1164DE90" w14:textId="77777777" w:rsidR="000B5015" w:rsidRPr="007F1B6D" w:rsidRDefault="000B5015" w:rsidP="000B5015">
            <w:pPr>
              <w:shd w:val="clear" w:color="auto" w:fill="FFFFFF"/>
              <w:tabs>
                <w:tab w:val="left" w:pos="360"/>
              </w:tabs>
              <w:rPr>
                <w:rFonts w:ascii="Open Sans Light" w:eastAsia="Open Sans Light" w:hAnsi="Open Sans Light" w:cs="Open Sans Light"/>
                <w:sz w:val="22"/>
                <w:szCs w:val="22"/>
              </w:rPr>
            </w:pPr>
          </w:p>
          <w:p w14:paraId="04292B8F" w14:textId="77777777" w:rsidR="000D1DE4" w:rsidRPr="007F1B6D" w:rsidRDefault="000D1DE4" w:rsidP="00312ED5">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A78D22F" w14:textId="77777777" w:rsidR="000D1DE4" w:rsidRPr="007F1B6D" w:rsidRDefault="000D1DE4" w:rsidP="00312ED5">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2E37238B" w14:textId="77777777" w:rsidR="000D1DE4" w:rsidRPr="00840183" w:rsidRDefault="000D1DE4" w:rsidP="000D1DE4">
      <w:pPr>
        <w:rPr>
          <w:rFonts w:ascii="Open Sans Light" w:eastAsia="Open Sans Light" w:hAnsi="Open Sans Light" w:cs="Open Sans Light"/>
          <w:b/>
          <w:sz w:val="22"/>
          <w:szCs w:val="22"/>
        </w:rPr>
      </w:pPr>
    </w:p>
    <w:p w14:paraId="145B65CA" w14:textId="77777777" w:rsidR="000D1DE4" w:rsidRPr="00840183" w:rsidRDefault="000D1DE4" w:rsidP="000D1DE4">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77470295" w:rsidR="006604E6" w:rsidRDefault="00EB53CA">
    <w:pPr>
      <w:pBdr>
        <w:top w:val="nil"/>
        <w:left w:val="nil"/>
        <w:bottom w:val="nil"/>
        <w:right w:val="nil"/>
        <w:between w:val="nil"/>
      </w:pBdr>
      <w:tabs>
        <w:tab w:val="center" w:pos="4320"/>
        <w:tab w:val="right" w:pos="8640"/>
        <w:tab w:val="right" w:pos="9180"/>
        <w:tab w:val="right" w:pos="12780"/>
      </w:tabs>
      <w:ind w:right="360"/>
      <w:rPr>
        <w:b/>
        <w:color w:val="000000"/>
      </w:rPr>
    </w:pPr>
    <w:r>
      <w:rPr>
        <w:b/>
      </w:rPr>
      <w:t>Secondary Education Unified</w:t>
    </w:r>
    <w:r w:rsidR="004440E7">
      <w:rPr>
        <w:b/>
        <w:color w:val="000000"/>
      </w:rPr>
      <w:t xml:space="preserve">, </w:t>
    </w:r>
    <w:r>
      <w:rPr>
        <w:b/>
        <w:color w:val="000000"/>
      </w:rPr>
      <w:t>2017</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0B5015"/>
    <w:rsid w:val="000D1DE4"/>
    <w:rsid w:val="001548B9"/>
    <w:rsid w:val="001C5078"/>
    <w:rsid w:val="003470D2"/>
    <w:rsid w:val="00442E2F"/>
    <w:rsid w:val="004440E7"/>
    <w:rsid w:val="004944DB"/>
    <w:rsid w:val="005C3B08"/>
    <w:rsid w:val="006604E6"/>
    <w:rsid w:val="007F1B6D"/>
    <w:rsid w:val="00820AB3"/>
    <w:rsid w:val="00840183"/>
    <w:rsid w:val="00906C59"/>
    <w:rsid w:val="009767DE"/>
    <w:rsid w:val="00AA1246"/>
    <w:rsid w:val="00B0099A"/>
    <w:rsid w:val="00BC5058"/>
    <w:rsid w:val="00BD7C64"/>
    <w:rsid w:val="00BE3BE0"/>
    <w:rsid w:val="00C321D9"/>
    <w:rsid w:val="00C762F4"/>
    <w:rsid w:val="00CB2464"/>
    <w:rsid w:val="00CF68AC"/>
    <w:rsid w:val="00D03356"/>
    <w:rsid w:val="00D13CC9"/>
    <w:rsid w:val="00DD1645"/>
    <w:rsid w:val="00DF5A12"/>
    <w:rsid w:val="00EB53CA"/>
    <w:rsid w:val="00EB6F2F"/>
    <w:rsid w:val="00ED382E"/>
    <w:rsid w:val="00EE755B"/>
    <w:rsid w:val="00F212D3"/>
    <w:rsid w:val="00F66207"/>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3</cp:revision>
  <dcterms:created xsi:type="dcterms:W3CDTF">2024-10-17T19:53:00Z</dcterms:created>
  <dcterms:modified xsi:type="dcterms:W3CDTF">2025-04-09T22:06:00Z</dcterms:modified>
</cp:coreProperties>
</file>